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gjdgxs" w:id="0"/>
    <w:bookmarkEnd w:id="0"/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center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2.30769230769226" w:lineRule="auto"/>
        <w:ind w:left="0" w:right="0" w:firstLine="0"/>
        <w:jc w:val="center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2.30769230769226" w:lineRule="auto"/>
        <w:ind w:left="0" w:right="0" w:firstLine="0"/>
        <w:jc w:val="center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2.30769230769226" w:lineRule="auto"/>
        <w:ind w:left="0" w:right="0" w:firstLine="0"/>
        <w:jc w:val="center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2.30769230769226" w:lineRule="auto"/>
        <w:ind w:left="0" w:right="0" w:firstLine="0"/>
        <w:jc w:val="center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2.30769230769226" w:lineRule="auto"/>
        <w:ind w:left="0" w:right="0" w:firstLine="0"/>
        <w:jc w:val="center"/>
        <w:rPr>
          <w:rFonts w:ascii="Times" w:cs="Times" w:eastAsia="Times" w:hAnsi="Times"/>
          <w:b w:val="0"/>
          <w:i w:val="0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0"/>
          <w:i w:val="0"/>
          <w:sz w:val="26"/>
          <w:szCs w:val="26"/>
          <w:rtl w:val="0"/>
        </w:rPr>
        <w:t xml:space="preserve">6 липня 2018 року     № 567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Calibri" w:cs="Calibri" w:eastAsia="Calibri" w:hAnsi="Calibri"/>
          <w:b w:val="1"/>
          <w:i w:val="1"/>
          <w:sz w:val="22"/>
          <w:szCs w:val="22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highlight w:val="white"/>
          <w:rtl w:val="0"/>
        </w:rPr>
        <w:t xml:space="preserve">Про укладення між гр. Цапун М.М.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Calibri" w:cs="Calibri" w:eastAsia="Calibri" w:hAnsi="Calibri"/>
          <w:b w:val="1"/>
          <w:i w:val="1"/>
          <w:sz w:val="22"/>
          <w:szCs w:val="22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highlight w:val="white"/>
          <w:rtl w:val="0"/>
        </w:rPr>
        <w:t xml:space="preserve">і районною державною адміністрацією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b w:val="1"/>
          <w:i w:val="1"/>
          <w:sz w:val="26"/>
          <w:szCs w:val="26"/>
          <w:highlight w:val="white"/>
        </w:rPr>
      </w:pPr>
      <w:r w:rsidDel="00000000" w:rsidR="00000000" w:rsidRPr="00000000">
        <w:rPr>
          <w:rFonts w:ascii="Times" w:cs="Times" w:eastAsia="Times" w:hAnsi="Times"/>
          <w:b w:val="1"/>
          <w:i w:val="1"/>
          <w:sz w:val="26"/>
          <w:szCs w:val="26"/>
          <w:highlight w:val="white"/>
          <w:rtl w:val="0"/>
        </w:rPr>
        <w:t xml:space="preserve">договору на оплату авансового внеску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Calibri" w:cs="Calibri" w:eastAsia="Calibri" w:hAnsi="Calibri"/>
          <w:b w:val="1"/>
          <w:i w:val="1"/>
          <w:sz w:val="22"/>
          <w:szCs w:val="22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highlight w:val="white"/>
          <w:rtl w:val="0"/>
        </w:rPr>
        <w:t xml:space="preserve">в рахунок оплати ціни земельної ділянки  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sz w:val="26"/>
          <w:szCs w:val="26"/>
          <w:highlight w:val="white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highlight w:val="white"/>
          <w:rtl w:val="0"/>
        </w:rPr>
        <w:t xml:space="preserve"> 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720"/>
        <w:jc w:val="both"/>
        <w:rPr>
          <w:rFonts w:ascii="Calibri" w:cs="Calibri" w:eastAsia="Calibri" w:hAnsi="Calibri"/>
          <w:sz w:val="22"/>
          <w:szCs w:val="22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highlight w:val="white"/>
          <w:rtl w:val="0"/>
        </w:rPr>
        <w:t xml:space="preserve">Відповідно до ст. ст. 6, 41 Закону України “Про місцеві державні адміністрації”, ст. 128 Земельного кодексу України, розпорядження голови Львівської обласної державної адміністрації від 04.06.2018 №539/0/5-18 “Про надання дозволу на проведення експертної грошової оцінки земельної ділянки несільськогосподарського призначення”, розглянувши заяву гр. Цапун М.М. від 02.07.2018 про надання згоди на оплату авансового внеску в рахунок оплати ціни земельної ділянки, Витяг з технічної документації про нормативну грошову оцінку земельної ділянки, виданий відділом Держгеокадастру у Пустомитівському районі 13.04.2016 № 1089: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720"/>
        <w:jc w:val="both"/>
        <w:rPr>
          <w:rFonts w:ascii="Times" w:cs="Times" w:eastAsia="Times" w:hAnsi="Times"/>
          <w:sz w:val="26"/>
          <w:szCs w:val="26"/>
          <w:highlight w:val="white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highlight w:val="white"/>
          <w:rtl w:val="0"/>
        </w:rPr>
        <w:t xml:space="preserve">1. Гр. Цапун Мар’яні Михайлівні укласти з районною державною адміністрацією договір на оплату авансового внеску в рахунок оплати ціни земельної ділянки, яку вона бажає викупити, площею 0,9720 га (кадастровий номер 4623688200:07:000:0076, КВЦПЗ – 11.02) із земель  промисловості, транспорту, зв'язку, енергетики, оборони та іншого призначення для обслуговування викуплених нежитлових приміщень (насосна станція, два склади, прохідна, адміністративно – виробниче приміщення, гаражі, майстерня) на території Давидівської сільської ради Давидівської об’єднаної територіальної громади Пустомитівського району за межами населеного пункту.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20" w:right="0" w:firstLine="720"/>
        <w:jc w:val="both"/>
        <w:rPr>
          <w:rFonts w:ascii="Times" w:cs="Times" w:eastAsia="Times" w:hAnsi="Times"/>
          <w:sz w:val="26"/>
          <w:szCs w:val="26"/>
          <w:highlight w:val="white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highlight w:val="white"/>
          <w:rtl w:val="0"/>
        </w:rPr>
        <w:t xml:space="preserve">2. Гр. Цапун М.М. оплатити авансовий внесок в рахунок оплати ціни земельної ділянки в сумі 20 000,00 грн. (двадцять тисяч) гривень 00 коп., що складає 1,87 % від нормативної грошової оцінки земельної ділянки (1072265,62 грн. (один мільйон сімдесят дві тисячі двісті шістдесят п’ять) гривень 62  коп.) на рахунок Управління державної казначейської служби України у Пустомитівському районі Львівської області № 34126998013390, МФО 899998, ЄДРПОУ 38047883.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80" w:right="0" w:firstLine="720"/>
        <w:jc w:val="both"/>
        <w:rPr>
          <w:rFonts w:ascii="Times" w:cs="Times" w:eastAsia="Times" w:hAnsi="Times"/>
          <w:sz w:val="26"/>
          <w:szCs w:val="26"/>
          <w:highlight w:val="white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highlight w:val="white"/>
          <w:rtl w:val="0"/>
        </w:rPr>
        <w:t xml:space="preserve">3.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1440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Голова                                                                                                          І.С.ХРУНЬ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right="0" w:firstLine="720"/>
        <w:jc w:val="both"/>
        <w:rPr>
          <w:rFonts w:ascii="Times" w:cs="Times" w:eastAsia="Times" w:hAnsi="Times"/>
          <w:b w:val="1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              </w:t>
        <w:tab/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b w:val="1"/>
          <w:sz w:val="26"/>
          <w:szCs w:val="26"/>
          <w:rtl w:val="0"/>
        </w:rPr>
        <w:t xml:space="preserve">         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4240" w:right="0" w:firstLine="700"/>
        <w:rPr>
          <w:rFonts w:ascii="Times" w:cs="Times" w:eastAsia="Times" w:hAnsi="Times"/>
          <w:color w:val="362b36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color w:val="362b36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color w:val="362b36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color w:val="362b36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color w:val="362b36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color w:val="362b36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color w:val="362b36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color w:val="362b36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color w:val="362b36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color w:val="362b36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jc w:val="both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4860" w:right="0" w:firstLine="0"/>
        <w:jc w:val="both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right="0" w:firstLine="0"/>
        <w:rPr>
          <w:rFonts w:ascii="Times" w:cs="Times" w:eastAsia="Times" w:hAnsi="Times"/>
          <w:sz w:val="26"/>
          <w:szCs w:val="26"/>
        </w:rPr>
      </w:pPr>
      <w:r w:rsidDel="00000000" w:rsidR="00000000" w:rsidRPr="00000000">
        <w:rPr>
          <w:rFonts w:ascii="Times" w:cs="Times" w:eastAsia="Times" w:hAnsi="Times"/>
          <w:sz w:val="26"/>
          <w:szCs w:val="26"/>
          <w:rtl w:val="0"/>
        </w:rPr>
        <w:t xml:space="preserve"> 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  <w:spacing w:after="900" w:before="900" w:lineRule="auto"/>
        <w:ind w:left="1520" w:right="560" w:firstLine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Rule="auto"/>
      <w:ind w:left="0" w:right="0" w:firstLine="0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Rule="auto"/>
      <w:ind w:left="0" w:right="0" w:firstLine="0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Rule="auto"/>
      <w:ind w:left="0" w:right="0" w:firstLine="0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Rule="auto"/>
      <w:ind w:left="0" w:right="0" w:firstLine="0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Rule="auto"/>
      <w:ind w:left="0" w:right="0" w:firstLine="0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Rule="auto"/>
      <w:ind w:left="0" w:right="0" w:firstLine="0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